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B064CC" w:rsidP="00B064CC">
      <w:pPr>
        <w:sectPr w:rsidSect="00B064CC">
          <w:headerReference w:type="default" r:id="rId5"/>
          <w:footerReference w:type="default" r:id="rId6"/>
          <w:pgSz w:w="11906" w:h="16838" w:code="9"/>
          <w:pgMar w:top="50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-471805</wp:posOffset>
                </wp:positionV>
                <wp:extent cx="573659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4CC" w:rsidRPr="008D1CCB" w:rsidP="00B064CC">
                            <w:pPr>
                              <w:jc w:val="center"/>
                              <w:rPr>
                                <w:rFonts w:ascii="Calibri" w:hAnsi="Calibri" w:cs="Calibri"/>
                                <w:szCs w:val="20"/>
                                <w:lang w:val="en-GB"/>
                              </w:rPr>
                            </w:pPr>
                            <w:r w:rsidRPr="008D1CCB">
                              <w:rPr>
                                <w:rFonts w:ascii="Calibri" w:hAnsi="Calibri" w:cs="Calibri"/>
                                <w:szCs w:val="20"/>
                                <w:lang w:val="en-GB"/>
                              </w:rPr>
                              <w:t xml:space="preserve">Provided by </w:t>
                            </w:r>
                            <w:r w:rsidRPr="008D1CCB" w:rsidR="00F47804">
                              <w:rPr>
                                <w:rFonts w:ascii="Calibri" w:hAnsi="Calibri" w:cs="Calibri"/>
                                <w:szCs w:val="20"/>
                                <w:lang w:val="en-GB"/>
                              </w:rPr>
                              <w:t>Business Beckinsale Limited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5" type="#_x0000_t202" style="width:451.7pt;height:24pt;margin-top:-37.15pt;margin-left:-0.4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58240" filled="f" fillcolor="this" stroked="f">
                <v:textbox>
                  <w:txbxContent>
                    <w:p w:rsidR="00B064CC" w:rsidRPr="008D1CCB" w:rsidP="00B064CC">
                      <w:pPr>
                        <w:jc w:val="center"/>
                        <w:rPr>
                          <w:rFonts w:ascii="Calibri" w:hAnsi="Calibri" w:cs="Calibri"/>
                          <w:szCs w:val="20"/>
                          <w:lang w:val="en-GB"/>
                        </w:rPr>
                      </w:pPr>
                      <w:r w:rsidRPr="008D1CCB">
                        <w:rPr>
                          <w:rFonts w:ascii="Calibri" w:hAnsi="Calibri" w:cs="Calibri"/>
                          <w:szCs w:val="20"/>
                          <w:lang w:val="en-GB"/>
                        </w:rPr>
                        <w:t xml:space="preserve">Provided by </w:t>
                      </w:r>
                      <w:r w:rsidRPr="008D1CCB" w:rsidR="00F47804">
                        <w:rPr>
                          <w:rFonts w:ascii="Calibri" w:hAnsi="Calibri" w:cs="Calibri"/>
                          <w:szCs w:val="20"/>
                          <w:lang w:val="en-GB"/>
                        </w:rPr>
                        <w:t>Business Beckinsale Limited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9AC" w:rsidRPr="0045230B" w:rsidP="003169AC">
      <w:pPr>
        <w:pStyle w:val="Header0"/>
        <w:spacing w:after="60"/>
        <w:rPr>
          <w:lang w:val="en-GB"/>
        </w:rPr>
      </w:pPr>
      <w:r>
        <w:rPr>
          <w:lang w:val="en-GB"/>
        </w:rPr>
        <w:t>Conducting Health Risk Assessments for Your Well-being Programme</w:t>
      </w:r>
    </w:p>
    <w:p w:rsidR="003169AC" w:rsidRPr="00870F8A" w:rsidP="00870F8A">
      <w:pPr>
        <w:spacing w:after="240"/>
        <w:rPr>
          <w:lang w:val="en-GB"/>
        </w:rPr>
      </w:pPr>
      <w:r w:rsidRPr="00870F8A">
        <w:rPr>
          <w:lang w:val="en-GB"/>
        </w:rPr>
        <w:t xml:space="preserve">A health risk assessment (HRA) is a tool for determining the presence of disease and for estimating the risk that someone with certain characteristics will develop a disease. </w:t>
      </w:r>
      <w:r w:rsidRPr="00870F8A">
        <w:rPr>
          <w:lang w:val="en-GB"/>
        </w:rPr>
        <w:t xml:space="preserve">HRAs can be used by employers to identify at-risk employees and target specific strategies to </w:t>
      </w:r>
      <w:r>
        <w:rPr>
          <w:lang w:val="en-GB"/>
        </w:rPr>
        <w:t>promote employee well-being</w:t>
      </w:r>
      <w:r w:rsidRPr="00870F8A">
        <w:rPr>
          <w:lang w:val="en-GB"/>
        </w:rPr>
        <w:t xml:space="preserve"> and reduce health-related costs, such as employer’s liability</w:t>
      </w:r>
      <w:r w:rsidRPr="00870F8A">
        <w:rPr>
          <w:lang w:val="en-GB"/>
        </w:rPr>
        <w:t>.</w:t>
      </w:r>
      <w:r>
        <w:rPr>
          <w:lang w:val="en-GB"/>
        </w:rPr>
        <w:t xml:space="preserve"> Consider the following guidance when conducting an HRA. </w:t>
      </w:r>
    </w:p>
    <w:p w:rsidR="003169AC" w:rsidRPr="0045230B" w:rsidP="003169AC">
      <w:pPr>
        <w:pStyle w:val="Subheader"/>
        <w:spacing w:after="80"/>
        <w:rPr>
          <w:lang w:val="en-GB"/>
        </w:rPr>
      </w:pPr>
      <w:r>
        <w:rPr>
          <w:lang w:val="en-GB"/>
        </w:rPr>
        <w:t>The Benefits Conducting HRAs</w:t>
      </w:r>
    </w:p>
    <w:p w:rsidR="008465C3" w:rsidP="00870F8A">
      <w:pPr>
        <w:spacing w:after="120"/>
        <w:rPr>
          <w:lang w:val="en-GB"/>
        </w:rPr>
      </w:pPr>
      <w:r>
        <w:rPr>
          <w:lang w:val="en-GB"/>
        </w:rPr>
        <w:t>HRAs are appealing for several reasons: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lang w:val="en-GB"/>
        </w:rPr>
        <w:t>They are easy to complete and are generally popular with employees.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lang w:val="en-GB"/>
        </w:rPr>
        <w:t xml:space="preserve">They may increase individual motivation and participation in your workplace </w:t>
      </w:r>
      <w:r>
        <w:rPr>
          <w:lang w:val="en-GB"/>
        </w:rPr>
        <w:t>well-being</w:t>
      </w:r>
      <w:r w:rsidRPr="00870F8A">
        <w:rPr>
          <w:lang w:val="en-GB"/>
        </w:rPr>
        <w:t xml:space="preserve"> programme because they uncover health risks.</w:t>
      </w:r>
    </w:p>
    <w:p w:rsidR="00870F8A" w:rsidP="00870F8A">
      <w:pPr>
        <w:pStyle w:val="bullets"/>
        <w:spacing w:after="240"/>
        <w:ind w:left="360"/>
        <w:contextualSpacing w:val="0"/>
        <w:rPr>
          <w:lang w:val="en-GB"/>
        </w:rPr>
      </w:pPr>
      <w:r w:rsidRPr="00870F8A">
        <w:rPr>
          <w:lang w:val="en-GB"/>
        </w:rPr>
        <w:t xml:space="preserve">They provide group data that </w:t>
      </w:r>
      <w:r w:rsidRPr="00870F8A">
        <w:rPr>
          <w:lang w:val="en-GB"/>
        </w:rPr>
        <w:t>can be used</w:t>
      </w:r>
      <w:r w:rsidRPr="00870F8A">
        <w:rPr>
          <w:lang w:val="en-GB"/>
        </w:rPr>
        <w:t xml:space="preserve"> by the employer to identify major health problems and risk factors that can be addressed in </w:t>
      </w:r>
      <w:r>
        <w:rPr>
          <w:lang w:val="en-GB"/>
        </w:rPr>
        <w:t>well-being</w:t>
      </w:r>
      <w:r w:rsidRPr="00870F8A">
        <w:rPr>
          <w:lang w:val="en-GB"/>
        </w:rPr>
        <w:t xml:space="preserve"> initiatives.</w:t>
      </w:r>
    </w:p>
    <w:p w:rsidR="00870F8A" w:rsidRPr="00870F8A" w:rsidP="00870F8A">
      <w:pPr>
        <w:pStyle w:val="Subheader"/>
        <w:spacing w:after="120"/>
        <w:rPr>
          <w:lang w:val="en-GB"/>
        </w:rPr>
      </w:pPr>
      <w:r>
        <w:rPr>
          <w:lang w:val="en-GB"/>
        </w:rPr>
        <w:t>Factors to Include</w:t>
      </w:r>
    </w:p>
    <w:p w:rsidR="00870F8A" w:rsidP="00870F8A">
      <w:pPr>
        <w:spacing w:after="120"/>
        <w:rPr>
          <w:lang w:val="en-GB"/>
        </w:rPr>
      </w:pPr>
      <w:r w:rsidRPr="00870F8A">
        <w:rPr>
          <w:lang w:val="en-GB"/>
        </w:rPr>
        <w:t xml:space="preserve">The three components of an HRA are questionnaire, risk calculation and educational reports. Typically, each employee </w:t>
      </w:r>
      <w:r w:rsidRPr="00870F8A">
        <w:rPr>
          <w:lang w:val="en-GB"/>
        </w:rPr>
        <w:t>will receive a confidential report and the employer will receive an aggregate report with grouped statistics from all employees.</w:t>
      </w:r>
    </w:p>
    <w:p w:rsidR="00870F8A" w:rsidP="00870F8A">
      <w:pPr>
        <w:spacing w:after="120"/>
        <w:rPr>
          <w:lang w:val="en-GB"/>
        </w:rPr>
      </w:pPr>
      <w:r w:rsidRPr="00870F8A">
        <w:rPr>
          <w:lang w:val="en-GB"/>
        </w:rPr>
        <w:t>Some of the most common factors included in a health risk assessment include: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Blood Glucose Level:</w:t>
      </w:r>
      <w:r w:rsidRPr="00870F8A">
        <w:rPr>
          <w:lang w:val="en-GB"/>
        </w:rPr>
        <w:t xml:space="preserve"> Blood tests can determine the presence of diabetes or pre-diabetes.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Blood Pressure:</w:t>
      </w:r>
      <w:r w:rsidRPr="00870F8A">
        <w:rPr>
          <w:lang w:val="en-GB"/>
        </w:rPr>
        <w:t xml:space="preserve"> Pressure readings </w:t>
      </w:r>
      <w:r w:rsidRPr="00870F8A">
        <w:rPr>
          <w:lang w:val="en-GB"/>
        </w:rPr>
        <w:t>are taken</w:t>
      </w:r>
      <w:r w:rsidRPr="00870F8A">
        <w:rPr>
          <w:lang w:val="en-GB"/>
        </w:rPr>
        <w:t xml:space="preserve"> and information is gathered about employees’ medical background and blood pressure history. 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Stroke Conditions</w:t>
      </w:r>
      <w:r w:rsidRPr="00870F8A">
        <w:rPr>
          <w:lang w:val="en-GB"/>
        </w:rPr>
        <w:t xml:space="preserve">: Blood test </w:t>
      </w:r>
      <w:r w:rsidRPr="00870F8A">
        <w:rPr>
          <w:lang w:val="en-GB"/>
        </w:rPr>
        <w:t>is done</w:t>
      </w:r>
      <w:r w:rsidRPr="00870F8A">
        <w:rPr>
          <w:lang w:val="en-GB"/>
        </w:rPr>
        <w:t xml:space="preserve"> to detect the presence of blood vessel abnormalities.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Body Mass Index (BMI):</w:t>
      </w:r>
      <w:r w:rsidRPr="00870F8A">
        <w:rPr>
          <w:lang w:val="en-GB"/>
        </w:rPr>
        <w:t xml:space="preserve"> A measure of weight relative to height to measure body fat. 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Cholesterol</w:t>
      </w:r>
      <w:r w:rsidRPr="00870F8A">
        <w:rPr>
          <w:lang w:val="en-GB"/>
        </w:rPr>
        <w:t>: Good and bad levels of cholesterol are detected using a blood test, and information is gathered about diet and medication use.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Coronary Disease:</w:t>
      </w:r>
      <w:r w:rsidRPr="00870F8A">
        <w:rPr>
          <w:lang w:val="en-GB"/>
        </w:rPr>
        <w:t xml:space="preserve"> Employees </w:t>
      </w:r>
      <w:r w:rsidRPr="00870F8A">
        <w:rPr>
          <w:lang w:val="en-GB"/>
        </w:rPr>
        <w:t>are questioned</w:t>
      </w:r>
      <w:r w:rsidRPr="00870F8A">
        <w:rPr>
          <w:lang w:val="en-GB"/>
        </w:rPr>
        <w:t xml:space="preserve"> on their lifestyle choices and any previous heart problems.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Demographic Information</w:t>
      </w:r>
      <w:r w:rsidRPr="00870F8A">
        <w:rPr>
          <w:lang w:val="en-GB"/>
        </w:rPr>
        <w:t xml:space="preserve">: Information </w:t>
      </w:r>
      <w:r w:rsidRPr="00870F8A">
        <w:rPr>
          <w:lang w:val="en-GB"/>
        </w:rPr>
        <w:t>is gathered</w:t>
      </w:r>
      <w:r w:rsidRPr="00870F8A">
        <w:rPr>
          <w:lang w:val="en-GB"/>
        </w:rPr>
        <w:t xml:space="preserve"> about gender, age, weight, height, race, marital status and geographic location to improve </w:t>
      </w:r>
      <w:r>
        <w:rPr>
          <w:lang w:val="en-GB"/>
        </w:rPr>
        <w:t>well-being</w:t>
      </w:r>
      <w:r w:rsidRPr="00870F8A">
        <w:rPr>
          <w:lang w:val="en-GB"/>
        </w:rPr>
        <w:t xml:space="preserve"> efforts.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Family History:</w:t>
      </w:r>
      <w:r w:rsidRPr="00870F8A">
        <w:rPr>
          <w:lang w:val="en-GB"/>
        </w:rPr>
        <w:t xml:space="preserve"> Employees </w:t>
      </w:r>
      <w:r w:rsidRPr="00870F8A">
        <w:rPr>
          <w:lang w:val="en-GB"/>
        </w:rPr>
        <w:t>are given</w:t>
      </w:r>
      <w:r w:rsidRPr="00870F8A">
        <w:rPr>
          <w:lang w:val="en-GB"/>
        </w:rPr>
        <w:t xml:space="preserve"> a high-level questionnaire about the presence of certain diseases within their families.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Stress</w:t>
      </w:r>
      <w:r w:rsidRPr="00870F8A">
        <w:rPr>
          <w:lang w:val="en-GB"/>
        </w:rPr>
        <w:t xml:space="preserve">: Employees </w:t>
      </w:r>
      <w:r w:rsidRPr="00870F8A">
        <w:rPr>
          <w:lang w:val="en-GB"/>
        </w:rPr>
        <w:t>are questioned</w:t>
      </w:r>
      <w:r w:rsidRPr="00870F8A">
        <w:rPr>
          <w:lang w:val="en-GB"/>
        </w:rPr>
        <w:t xml:space="preserve"> on their stress levels and sources of stress.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Physical Fitness:</w:t>
      </w:r>
      <w:r w:rsidRPr="00870F8A">
        <w:rPr>
          <w:lang w:val="en-GB"/>
        </w:rPr>
        <w:t xml:space="preserve"> Employees </w:t>
      </w:r>
      <w:r w:rsidRPr="00870F8A">
        <w:rPr>
          <w:lang w:val="en-GB"/>
        </w:rPr>
        <w:t>are questioned</w:t>
      </w:r>
      <w:r w:rsidRPr="00870F8A">
        <w:rPr>
          <w:lang w:val="en-GB"/>
        </w:rPr>
        <w:t xml:space="preserve"> on their activity level.</w:t>
      </w:r>
    </w:p>
    <w:p w:rsid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Tobacco Use:</w:t>
      </w:r>
      <w:r w:rsidRPr="00870F8A">
        <w:rPr>
          <w:lang w:val="en-GB"/>
        </w:rPr>
        <w:t xml:space="preserve"> Employees </w:t>
      </w:r>
      <w:r w:rsidRPr="00870F8A">
        <w:rPr>
          <w:lang w:val="en-GB"/>
        </w:rPr>
        <w:t>are questioned</w:t>
      </w:r>
      <w:r w:rsidRPr="00870F8A">
        <w:rPr>
          <w:lang w:val="en-GB"/>
        </w:rPr>
        <w:t xml:space="preserve"> on their tobacco use.</w:t>
      </w:r>
    </w:p>
    <w:p w:rsidR="00870F8A" w:rsidRPr="00870F8A" w:rsidP="00870F8A">
      <w:pPr>
        <w:spacing w:after="120"/>
        <w:rPr>
          <w:lang w:val="en-GB"/>
        </w:rPr>
      </w:pPr>
      <w:r w:rsidRPr="00870F8A">
        <w:rPr>
          <w:lang w:val="en-GB"/>
        </w:rPr>
        <w:t xml:space="preserve">Keep in mind that the UK has laws involve privacy and discrimination issues and the use of incentives or penalties based on this information. </w:t>
      </w:r>
    </w:p>
    <w:p w:rsidR="00870F8A" w:rsidRPr="00870F8A" w:rsidP="00870F8A">
      <w:pPr>
        <w:spacing w:after="120"/>
        <w:rPr>
          <w:lang w:val="en-GB"/>
        </w:rPr>
      </w:pPr>
      <w:r w:rsidRPr="00870F8A">
        <w:rPr>
          <w:lang w:val="en-GB"/>
        </w:rPr>
        <w:t>Employers should be familiar with these laws to make sure their programmes are in compliance. It is wise to seek competent legal advice or legal opinion when devising and implementing a health risk assessment to ensure your company is not at legal risk.</w:t>
      </w:r>
    </w:p>
    <w:p w:rsidR="00870F8A" w:rsidP="00870F8A">
      <w:pPr>
        <w:rPr>
          <w:lang w:val="en-GB"/>
        </w:rPr>
      </w:pPr>
      <w:r w:rsidRPr="00870F8A">
        <w:rPr>
          <w:lang w:val="en-GB"/>
        </w:rPr>
        <w:t xml:space="preserve">Employees can often complete </w:t>
      </w:r>
      <w:r>
        <w:rPr>
          <w:lang w:val="en-GB"/>
        </w:rPr>
        <w:t>assessments through printed or electronic</w:t>
      </w:r>
      <w:r w:rsidRPr="00870F8A">
        <w:rPr>
          <w:lang w:val="en-GB"/>
        </w:rPr>
        <w:t xml:space="preserve"> surveys. </w:t>
      </w:r>
      <w:r>
        <w:rPr>
          <w:lang w:val="en-GB"/>
        </w:rPr>
        <w:t xml:space="preserve">Electronic </w:t>
      </w:r>
      <w:r w:rsidRPr="00870F8A">
        <w:rPr>
          <w:lang w:val="en-GB"/>
        </w:rPr>
        <w:t>HRAs tend to be less expensive and have faster feedback. In addition, employers may provide on-site professionals to measure indicators such as blood glucose, blood pressure and cholesterol.</w:t>
      </w:r>
    </w:p>
    <w:p w:rsidR="00870F8A" w:rsidP="00870F8A">
      <w:pPr>
        <w:rPr>
          <w:lang w:val="en-GB"/>
        </w:rPr>
      </w:pPr>
    </w:p>
    <w:p w:rsidR="00870F8A" w:rsidP="00870F8A">
      <w:pPr>
        <w:pStyle w:val="Subheader"/>
        <w:spacing w:after="120"/>
        <w:rPr>
          <w:lang w:val="en-GB"/>
        </w:rPr>
      </w:pPr>
      <w:r>
        <w:rPr>
          <w:lang w:val="en-GB"/>
        </w:rPr>
        <w:t>Selecting an HRA Supplier</w:t>
      </w:r>
    </w:p>
    <w:p w:rsidR="00870F8A" w:rsidRPr="00870F8A" w:rsidP="00870F8A">
      <w:pPr>
        <w:spacing w:after="120"/>
        <w:rPr>
          <w:lang w:val="en-GB"/>
        </w:rPr>
      </w:pPr>
      <w:r w:rsidRPr="00870F8A">
        <w:rPr>
          <w:lang w:val="en-GB"/>
        </w:rPr>
        <w:t xml:space="preserve">Before selecting an HRA </w:t>
      </w:r>
      <w:r>
        <w:rPr>
          <w:lang w:val="en-GB"/>
        </w:rPr>
        <w:t>supplier</w:t>
      </w:r>
      <w:r w:rsidRPr="00870F8A">
        <w:rPr>
          <w:lang w:val="en-GB"/>
        </w:rPr>
        <w:t>, consider asking each potential company the following questions to help you find th</w:t>
      </w:r>
      <w:bookmarkStart w:id="0" w:name="_GoBack"/>
      <w:bookmarkEnd w:id="0"/>
      <w:r w:rsidRPr="00870F8A">
        <w:rPr>
          <w:lang w:val="en-GB"/>
        </w:rPr>
        <w:t>e best fit for implementing your HRA.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How long has your company been in business?</w:t>
      </w:r>
      <w:r w:rsidRPr="00870F8A">
        <w:rPr>
          <w:lang w:val="en-GB"/>
        </w:rPr>
        <w:t xml:space="preserve"> Opt for an experienced </w:t>
      </w:r>
      <w:r>
        <w:rPr>
          <w:lang w:val="en-GB"/>
        </w:rPr>
        <w:t>supplier</w:t>
      </w:r>
      <w:r w:rsidRPr="00870F8A">
        <w:rPr>
          <w:lang w:val="en-GB"/>
        </w:rPr>
        <w:t xml:space="preserve"> to increase the likelihood that their product is field-tested, successful and reliable.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What other types of employers have used your HRA tools?</w:t>
      </w:r>
      <w:r w:rsidRPr="00870F8A">
        <w:rPr>
          <w:lang w:val="en-GB"/>
        </w:rPr>
        <w:t xml:space="preserve"> Select a </w:t>
      </w:r>
      <w:r>
        <w:rPr>
          <w:lang w:val="en-GB"/>
        </w:rPr>
        <w:t>supplier</w:t>
      </w:r>
      <w:r w:rsidRPr="00870F8A">
        <w:rPr>
          <w:lang w:val="en-GB"/>
        </w:rPr>
        <w:t xml:space="preserve"> that has a vast client base, knowledge of your industry and a good reputation.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Is your HRA tool affiliated</w:t>
      </w:r>
      <w:r w:rsidRPr="00870F8A">
        <w:rPr>
          <w:b/>
          <w:lang w:val="en-GB"/>
        </w:rPr>
        <w:t xml:space="preserve"> with any other organisation or institution?</w:t>
      </w:r>
      <w:r w:rsidRPr="00870F8A">
        <w:rPr>
          <w:lang w:val="en-GB"/>
        </w:rPr>
        <w:t xml:space="preserve"> Select </w:t>
      </w:r>
      <w:r>
        <w:rPr>
          <w:lang w:val="en-GB"/>
        </w:rPr>
        <w:t>supplier</w:t>
      </w:r>
      <w:r w:rsidRPr="00870F8A">
        <w:rPr>
          <w:lang w:val="en-GB"/>
        </w:rPr>
        <w:t xml:space="preserve">s who have affiliations with highly respected organisations and institutions. Be wary if potential </w:t>
      </w:r>
      <w:r>
        <w:rPr>
          <w:lang w:val="en-GB"/>
        </w:rPr>
        <w:t>supplier</w:t>
      </w:r>
      <w:r w:rsidRPr="00870F8A">
        <w:rPr>
          <w:lang w:val="en-GB"/>
        </w:rPr>
        <w:t xml:space="preserve">s cannot or will not provide you with the names of their partnerships. 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 xml:space="preserve">What is the price of the services </w:t>
      </w:r>
      <w:r w:rsidRPr="00870F8A">
        <w:rPr>
          <w:b/>
          <w:lang w:val="en-GB"/>
        </w:rPr>
        <w:t>we’re</w:t>
      </w:r>
      <w:r w:rsidRPr="00870F8A">
        <w:rPr>
          <w:b/>
          <w:lang w:val="en-GB"/>
        </w:rPr>
        <w:t xml:space="preserve"> looking for?</w:t>
      </w:r>
      <w:r w:rsidRPr="00870F8A">
        <w:rPr>
          <w:lang w:val="en-GB"/>
        </w:rPr>
        <w:t xml:space="preserve"> Before contacting </w:t>
      </w:r>
      <w:r>
        <w:rPr>
          <w:lang w:val="en-GB"/>
        </w:rPr>
        <w:t>supplier</w:t>
      </w:r>
      <w:r w:rsidRPr="00870F8A">
        <w:rPr>
          <w:lang w:val="en-GB"/>
        </w:rPr>
        <w:t xml:space="preserve">s, have a price per employee in </w:t>
      </w:r>
      <w:r w:rsidRPr="00870F8A">
        <w:rPr>
          <w:lang w:val="en-GB"/>
        </w:rPr>
        <w:t>mind and be honest</w:t>
      </w:r>
      <w:r w:rsidRPr="00870F8A">
        <w:rPr>
          <w:lang w:val="en-GB"/>
        </w:rPr>
        <w:t xml:space="preserve"> and open about how much you would like to pay. 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Can you provide me with references of other employers who have used your HRA tools?</w:t>
      </w:r>
      <w:r w:rsidRPr="00870F8A">
        <w:rPr>
          <w:lang w:val="en-GB"/>
        </w:rPr>
        <w:t xml:space="preserve"> Ask for the names and telephone numbers of a few references who have used the proposed HRA plan. Contact each company to find out their experiences with the </w:t>
      </w:r>
      <w:r>
        <w:rPr>
          <w:lang w:val="en-GB"/>
        </w:rPr>
        <w:t>supplier</w:t>
      </w:r>
      <w:r w:rsidRPr="00870F8A">
        <w:rPr>
          <w:lang w:val="en-GB"/>
        </w:rPr>
        <w:t>.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b/>
          <w:lang w:val="en-GB"/>
        </w:rPr>
      </w:pPr>
      <w:r w:rsidRPr="00870F8A">
        <w:rPr>
          <w:b/>
          <w:lang w:val="en-GB"/>
        </w:rPr>
        <w:t>Are you or have you been involved in litigation against your company relating to your HRA tools?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Are you compliant with all UK laws and regulations?</w:t>
      </w:r>
      <w:r w:rsidRPr="00870F8A">
        <w:rPr>
          <w:lang w:val="en-GB"/>
        </w:rPr>
        <w:t xml:space="preserve"> Find out whether the </w:t>
      </w:r>
      <w:r>
        <w:rPr>
          <w:lang w:val="en-GB"/>
        </w:rPr>
        <w:t>supplier</w:t>
      </w:r>
      <w:r w:rsidRPr="00870F8A">
        <w:rPr>
          <w:lang w:val="en-GB"/>
        </w:rPr>
        <w:t xml:space="preserve"> understands UK laws and regulations and if they have effectively created their HRA tools with these guidelines in mind. Involve your company’s legal department in this part of the process.</w:t>
      </w:r>
    </w:p>
    <w:p w:rsidR="00870F8A" w:rsidRPr="00870F8A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Where will my company’s data be stored?</w:t>
      </w:r>
      <w:r w:rsidRPr="00870F8A">
        <w:rPr>
          <w:lang w:val="en-GB"/>
        </w:rPr>
        <w:t xml:space="preserve"> Select </w:t>
      </w:r>
      <w:r>
        <w:rPr>
          <w:lang w:val="en-GB"/>
        </w:rPr>
        <w:t>supplier</w:t>
      </w:r>
      <w:r w:rsidRPr="00870F8A">
        <w:rPr>
          <w:lang w:val="en-GB"/>
        </w:rPr>
        <w:t>s that will confidentially store your data in the UK, rather than overseas.</w:t>
      </w:r>
    </w:p>
    <w:p w:rsidR="00870F8A" w:rsidRPr="003169AC" w:rsidP="00870F8A">
      <w:pPr>
        <w:pStyle w:val="bullets"/>
        <w:spacing w:after="60"/>
        <w:ind w:left="360"/>
        <w:contextualSpacing w:val="0"/>
        <w:rPr>
          <w:lang w:val="en-GB"/>
        </w:rPr>
      </w:pPr>
      <w:r w:rsidRPr="00870F8A">
        <w:rPr>
          <w:b/>
          <w:lang w:val="en-GB"/>
        </w:rPr>
        <w:t>What customer service and/or technical support is available to my employees?</w:t>
      </w:r>
      <w:r w:rsidRPr="00870F8A">
        <w:rPr>
          <w:lang w:val="en-GB"/>
        </w:rPr>
        <w:t xml:space="preserve"> Choose </w:t>
      </w:r>
      <w:r>
        <w:rPr>
          <w:lang w:val="en-GB"/>
        </w:rPr>
        <w:t>supplier</w:t>
      </w:r>
      <w:r w:rsidRPr="00870F8A">
        <w:rPr>
          <w:lang w:val="en-GB"/>
        </w:rPr>
        <w:t>s who have a toll-free number or electronic support for your employees. They may need assistance logging on to the system, taking the assessment or generating the report.</w:t>
      </w:r>
    </w:p>
    <w:sectPr w:rsidSect="00D50526">
      <w:headerReference w:type="default" r:id="rId7"/>
      <w:footerReference w:type="default" r:id="rId8"/>
      <w:type w:val="continuous"/>
      <w:pgSz w:w="11906" w:h="16838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42C2" w:rsidP="00B142C2">
    <w:pPr>
      <w:pStyle w:val="Footer"/>
      <w:ind w:right="-101"/>
      <w:rPr>
        <w:i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3067050</wp:posOffset>
              </wp:positionH>
              <wp:positionV relativeFrom="paragraph">
                <wp:posOffset>-1398905</wp:posOffset>
              </wp:positionV>
              <wp:extent cx="2753995" cy="1314450"/>
              <wp:effectExtent l="0" t="0" r="825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399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9AC" w:rsidRPr="00E354CD" w:rsidP="003169AC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49" style="width:216.85pt;height:103.5pt;margin-top:-110.15pt;margin-left:24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3169AC" w:rsidRPr="00E354CD" w:rsidP="003169AC">
                    <w:pPr>
                      <w:rPr>
                        <w:u w:val="single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477F16" w:rsidR="00B142C2">
      <w:rPr>
        <w:i/>
        <w:color w:val="808080"/>
        <w:sz w:val="14"/>
        <w:szCs w:val="14"/>
      </w:rPr>
      <w:t xml:space="preserve">This article is not intended to be exhaustive nor should any discussion or opinions be construed as legal advice. Readers should contact </w:t>
    </w:r>
    <w:r w:rsidR="00B142C2">
      <w:rPr>
        <w:i/>
        <w:color w:val="808080"/>
        <w:sz w:val="14"/>
        <w:szCs w:val="14"/>
      </w:rPr>
      <w:t xml:space="preserve">a </w:t>
    </w:r>
    <w:r w:rsidRPr="00477F16" w:rsidR="00B142C2">
      <w:rPr>
        <w:i/>
        <w:color w:val="808080"/>
        <w:sz w:val="14"/>
        <w:szCs w:val="14"/>
      </w:rPr>
      <w:t xml:space="preserve">legal </w:t>
    </w:r>
    <w:r w:rsidR="00B142C2">
      <w:rPr>
        <w:i/>
        <w:color w:val="808080"/>
        <w:sz w:val="14"/>
        <w:szCs w:val="14"/>
      </w:rPr>
      <w:t>or</w:t>
    </w:r>
    <w:r w:rsidRPr="00477F16" w:rsidR="00B142C2">
      <w:rPr>
        <w:i/>
        <w:color w:val="808080"/>
        <w:sz w:val="14"/>
        <w:szCs w:val="14"/>
      </w:rPr>
      <w:t xml:space="preserve"> insurance profes</w:t>
    </w:r>
    <w:r w:rsidR="00B142C2">
      <w:rPr>
        <w:i/>
        <w:color w:val="808080"/>
        <w:sz w:val="14"/>
        <w:szCs w:val="14"/>
      </w:rPr>
      <w:t xml:space="preserve">sional for appropriate advice. </w:t>
    </w:r>
    <w:r w:rsidRPr="00477F16" w:rsidR="00B142C2">
      <w:rPr>
        <w:i/>
        <w:color w:val="808080"/>
        <w:sz w:val="14"/>
        <w:szCs w:val="14"/>
      </w:rPr>
      <w:t xml:space="preserve">© </w:t>
    </w:r>
    <w:r w:rsidR="00B142C2">
      <w:rPr>
        <w:i/>
        <w:color w:val="808080"/>
        <w:sz w:val="14"/>
        <w:szCs w:val="14"/>
      </w:rPr>
      <w:t>2010-</w:t>
    </w:r>
    <w:r w:rsidR="00870F8A">
      <w:rPr>
        <w:i/>
        <w:color w:val="808080"/>
        <w:sz w:val="14"/>
        <w:szCs w:val="14"/>
      </w:rPr>
      <w:t>2012, 2019</w:t>
    </w:r>
    <w:r w:rsidRPr="00477F16" w:rsidR="00B142C2">
      <w:rPr>
        <w:i/>
        <w:color w:val="808080"/>
        <w:sz w:val="14"/>
        <w:szCs w:val="14"/>
      </w:rPr>
      <w:t xml:space="preserve"> </w:t>
    </w:r>
    <w:r w:rsidRPr="00477F16" w:rsidR="00B142C2">
      <w:rPr>
        <w:i/>
        <w:color w:val="808080"/>
        <w:sz w:val="14"/>
        <w:szCs w:val="14"/>
      </w:rPr>
      <w:t>Zywave</w:t>
    </w:r>
    <w:r w:rsidRPr="00477F16" w:rsidR="00B142C2">
      <w:rPr>
        <w:i/>
        <w:color w:val="808080"/>
        <w:sz w:val="14"/>
        <w:szCs w:val="14"/>
      </w:rPr>
      <w:t xml:space="preserve">, Inc. All rights reserved. </w:t>
    </w:r>
  </w:p>
  <w:p w:rsidR="00B142C2" w:rsidP="003169AC">
    <w:pPr>
      <w:pStyle w:val="Footer"/>
      <w:tabs>
        <w:tab w:val="left" w:pos="2415"/>
        <w:tab w:val="clear" w:pos="4680"/>
        <w:tab w:val="clear" w:pos="93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69AC" w:rsidP="00B142C2">
    <w:pPr>
      <w:pStyle w:val="Footer"/>
      <w:ind w:right="-101"/>
      <w:rPr>
        <w:i/>
        <w:color w:val="808080"/>
        <w:sz w:val="14"/>
        <w:szCs w:val="14"/>
      </w:rPr>
    </w:pPr>
    <w:r w:rsidRPr="00477F16">
      <w:rPr>
        <w:i/>
        <w:color w:val="808080"/>
        <w:sz w:val="14"/>
        <w:szCs w:val="14"/>
      </w:rPr>
      <w:t xml:space="preserve"> </w:t>
    </w:r>
  </w:p>
  <w:p w:rsidR="003169AC" w:rsidP="003169AC">
    <w:pPr>
      <w:pStyle w:val="Footer"/>
      <w:tabs>
        <w:tab w:val="left" w:pos="2415"/>
        <w:tab w:val="clear" w:pos="4680"/>
        <w:tab w:val="clear" w:pos="9360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64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411" cy="10689336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712543" name="Planning-0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11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64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3059" cy="106893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orkplace Well-being - header-0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59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6D48EC"/>
    <w:multiLevelType w:val="hybridMultilevel"/>
    <w:tmpl w:val="B35ED1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18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32027"/>
    <w:multiLevelType w:val="hybridMultilevel"/>
    <w:tmpl w:val="44FE45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18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216B4"/>
    <w:multiLevelType w:val="hybridMultilevel"/>
    <w:tmpl w:val="443C32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18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2BB"/>
    <w:multiLevelType w:val="hybridMultilevel"/>
    <w:tmpl w:val="AC3643EA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13081"/>
    <w:multiLevelType w:val="hybridMultilevel"/>
    <w:tmpl w:val="0B3A19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18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CC"/>
    <w:rsid w:val="000165C2"/>
    <w:rsid w:val="00223592"/>
    <w:rsid w:val="003119BF"/>
    <w:rsid w:val="003169AC"/>
    <w:rsid w:val="0045230B"/>
    <w:rsid w:val="00477F16"/>
    <w:rsid w:val="006B23F6"/>
    <w:rsid w:val="008465C3"/>
    <w:rsid w:val="00870F8A"/>
    <w:rsid w:val="008D1CCB"/>
    <w:rsid w:val="00B064CC"/>
    <w:rsid w:val="00B12492"/>
    <w:rsid w:val="00B142C2"/>
    <w:rsid w:val="00CE0696"/>
    <w:rsid w:val="00DE635D"/>
    <w:rsid w:val="00E354CD"/>
    <w:rsid w:val="00EA75C1"/>
    <w:rsid w:val="00F4780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CB42A61-2366-48CA-8748-BA563E07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5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4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CC"/>
  </w:style>
  <w:style w:type="paragraph" w:styleId="Footer">
    <w:name w:val="footer"/>
    <w:basedOn w:val="Normal"/>
    <w:link w:val="FooterChar"/>
    <w:unhideWhenUsed/>
    <w:rsid w:val="00B064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064CC"/>
  </w:style>
  <w:style w:type="paragraph" w:customStyle="1" w:styleId="Header0">
    <w:name w:val="_Header"/>
    <w:basedOn w:val="Normal"/>
    <w:link w:val="HeaderChar0"/>
    <w:qFormat/>
    <w:rsid w:val="00B064CC"/>
    <w:rPr>
      <w:b/>
      <w:color w:val="E54C04"/>
      <w:sz w:val="36"/>
    </w:rPr>
  </w:style>
  <w:style w:type="paragraph" w:customStyle="1" w:styleId="Subheader">
    <w:name w:val="_Sub header"/>
    <w:basedOn w:val="Normal"/>
    <w:link w:val="SubheaderChar"/>
    <w:qFormat/>
    <w:rsid w:val="00DE635D"/>
    <w:rPr>
      <w:b/>
      <w:color w:val="E54C04"/>
      <w:sz w:val="24"/>
    </w:rPr>
  </w:style>
  <w:style w:type="character" w:customStyle="1" w:styleId="HeaderChar0">
    <w:name w:val="_Header Char"/>
    <w:basedOn w:val="DefaultParagraphFont"/>
    <w:link w:val="Header0"/>
    <w:rsid w:val="00B064CC"/>
    <w:rPr>
      <w:b/>
      <w:color w:val="E54C04"/>
      <w:sz w:val="36"/>
    </w:rPr>
  </w:style>
  <w:style w:type="paragraph" w:customStyle="1" w:styleId="Bold">
    <w:name w:val="_Bold"/>
    <w:basedOn w:val="Normal"/>
    <w:link w:val="BoldChar"/>
    <w:qFormat/>
    <w:rsid w:val="00DE635D"/>
    <w:rPr>
      <w:b/>
    </w:rPr>
  </w:style>
  <w:style w:type="character" w:customStyle="1" w:styleId="SubheaderChar">
    <w:name w:val="_Sub header Char"/>
    <w:basedOn w:val="DefaultParagraphFont"/>
    <w:link w:val="Subheader"/>
    <w:rsid w:val="00DE635D"/>
    <w:rPr>
      <w:b/>
      <w:color w:val="E54C04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E635D"/>
    <w:pPr>
      <w:ind w:left="720"/>
      <w:contextualSpacing/>
    </w:pPr>
  </w:style>
  <w:style w:type="character" w:customStyle="1" w:styleId="BoldChar">
    <w:name w:val="_Bold Char"/>
    <w:basedOn w:val="DefaultParagraphFont"/>
    <w:link w:val="Bold"/>
    <w:rsid w:val="00DE635D"/>
    <w:rPr>
      <w:b/>
    </w:rPr>
  </w:style>
  <w:style w:type="paragraph" w:customStyle="1" w:styleId="bullets">
    <w:name w:val="_bullets"/>
    <w:basedOn w:val="ListParagraph"/>
    <w:link w:val="bulletsChar"/>
    <w:qFormat/>
    <w:rsid w:val="00DE635D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635D"/>
  </w:style>
  <w:style w:type="character" w:customStyle="1" w:styleId="bulletsChar">
    <w:name w:val="_bullets Char"/>
    <w:basedOn w:val="ListParagraphChar"/>
    <w:link w:val="bullets"/>
    <w:rsid w:val="00DE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1022-D765-42DC-B9D1-274C0889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Stephanie</dc:creator>
  <cp:lastModifiedBy>Bellford, Nicole</cp:lastModifiedBy>
  <cp:revision>2</cp:revision>
  <dcterms:created xsi:type="dcterms:W3CDTF">2019-02-27T18:27:00Z</dcterms:created>
  <dcterms:modified xsi:type="dcterms:W3CDTF">2019-02-27T18:27:00Z</dcterms:modified>
</cp:coreProperties>
</file>